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91" w:rsidRPr="00BE3A72" w:rsidRDefault="00C31791" w:rsidP="00C31791">
      <w:pPr>
        <w:pStyle w:val="Nadpis2"/>
        <w:jc w:val="both"/>
      </w:pPr>
      <w:bookmarkStart w:id="0" w:name="_Toc328067711"/>
      <w:bookmarkStart w:id="1" w:name="_GoBack"/>
      <w:bookmarkEnd w:id="1"/>
      <w:r w:rsidRPr="00BE3A72">
        <w:t>Učební plán</w:t>
      </w:r>
      <w:bookmarkEnd w:id="0"/>
    </w:p>
    <w:p w:rsidR="00C31791" w:rsidRPr="00BE3A72" w:rsidRDefault="00C31791" w:rsidP="00C31791">
      <w:pPr>
        <w:pStyle w:val="Nadpis3"/>
        <w:jc w:val="both"/>
      </w:pPr>
      <w:bookmarkStart w:id="2" w:name="_Toc328067712"/>
      <w:r w:rsidRPr="00BE3A72">
        <w:t>Přehled rozpracování obsahu vzdělávání v RVP do ŠVP</w:t>
      </w:r>
      <w:bookmarkEnd w:id="2"/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9"/>
        <w:gridCol w:w="1085"/>
        <w:gridCol w:w="1341"/>
        <w:gridCol w:w="1914"/>
        <w:gridCol w:w="903"/>
        <w:gridCol w:w="928"/>
        <w:gridCol w:w="720"/>
      </w:tblGrid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Vzdělávací oblast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RVP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Vzdělávací obor</w:t>
            </w:r>
          </w:p>
        </w:tc>
        <w:tc>
          <w:tcPr>
            <w:tcW w:w="1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ŠVP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C31791" w:rsidRPr="00BE3A72" w:rsidRDefault="00C31791" w:rsidP="008E1EBF">
            <w:pPr>
              <w:ind w:left="113" w:right="113"/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Disponibilní hodiny</w:t>
            </w: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minimální počet vyučovacích hodin za studium</w:t>
            </w: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</w:p>
        </w:tc>
        <w:tc>
          <w:tcPr>
            <w:tcW w:w="1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r w:rsidRPr="00BE3A72">
              <w:t>počet vyučovacích hodin za studium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týdně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celkem</w:t>
            </w: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týdně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  <w:r w:rsidRPr="00BE3A72">
              <w:rPr>
                <w:b/>
                <w:bCs/>
              </w:rPr>
              <w:t>celkem</w:t>
            </w: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  <w:rPr>
                <w:b/>
                <w:bCs/>
              </w:rPr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Jazykové vzdělávání a komunikace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9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288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294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Český jazyk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Anglický jazyk</w:t>
            </w:r>
            <w:r>
              <w:rPr>
                <w:vertAlign w:val="superscript"/>
              </w:rPr>
              <w:t>3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196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Německý jazyk</w:t>
            </w:r>
            <w:r>
              <w:rPr>
                <w:vertAlign w:val="superscript"/>
              </w:rPr>
              <w:t>3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196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Společenskovědní vzdělávání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96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 xml:space="preserve">         </w:t>
            </w: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Občanská nauka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Přírodovědné vzdělávání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4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128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Fyzika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 xml:space="preserve">Chemické vzdělávání 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66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Základy ekologie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Matematické vzdělávání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4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8447AB" w:rsidRDefault="00C31791" w:rsidP="008E1EBF">
            <w:pPr>
              <w:jc w:val="both"/>
            </w:pPr>
            <w:r w:rsidRPr="008447AB">
              <w:t>128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8447AB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>
              <w:t>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8447AB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8447AB" w:rsidRDefault="00C31791" w:rsidP="008E1EBF">
            <w:pPr>
              <w:jc w:val="both"/>
            </w:pPr>
            <w:r w:rsidRPr="008447AB">
              <w:t>Matematika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>
              <w:t>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Estetické vzdělávání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2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64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65 1/2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Literatura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65 1/2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Vzdělávání pro zdraví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96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Tělesná výchova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 xml:space="preserve">Vzdělávání v informačních  </w:t>
            </w:r>
          </w:p>
          <w:p w:rsidR="00C31791" w:rsidRPr="00BE3A72" w:rsidRDefault="00C31791" w:rsidP="008E1EBF">
            <w:pPr>
              <w:jc w:val="both"/>
            </w:pPr>
            <w:r w:rsidRPr="00BE3A72">
              <w:t xml:space="preserve">a komunikačních </w:t>
            </w:r>
            <w:proofErr w:type="gramStart"/>
            <w:r w:rsidRPr="00BE3A72">
              <w:t>technologiích</w:t>
            </w:r>
            <w:proofErr w:type="gramEnd"/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96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 xml:space="preserve">Informační </w:t>
            </w:r>
          </w:p>
          <w:p w:rsidR="00C31791" w:rsidRPr="00BE3A72" w:rsidRDefault="00C31791" w:rsidP="008E1EBF">
            <w:pPr>
              <w:jc w:val="both"/>
            </w:pPr>
            <w:r w:rsidRPr="00BE3A72">
              <w:t>a komunikační technologie</w:t>
            </w:r>
            <w:r>
              <w:rPr>
                <w:vertAlign w:val="superscript"/>
              </w:rPr>
              <w:t>4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Ekonomické vzdělávání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2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64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64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Ekonomika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64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Odborné vzdělávání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50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1600</w:t>
            </w:r>
          </w:p>
        </w:tc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2271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proofErr w:type="spellStart"/>
            <w:r w:rsidRPr="00BE3A72">
              <w:t>Odb</w:t>
            </w:r>
            <w:proofErr w:type="spellEnd"/>
            <w:r w:rsidRPr="00BE3A72">
              <w:t>. kreslení*</w:t>
            </w:r>
            <w:r>
              <w:rPr>
                <w:vertAlign w:val="superscript"/>
              </w:rPr>
              <w:t>1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196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6</w:t>
            </w: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Materiály*</w:t>
            </w:r>
            <w:r>
              <w:rPr>
                <w:vertAlign w:val="superscript"/>
              </w:rPr>
              <w:t>1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132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4</w:t>
            </w: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Technologie*</w:t>
            </w:r>
            <w:r>
              <w:rPr>
                <w:vertAlign w:val="superscript"/>
              </w:rPr>
              <w:t>1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261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8</w:t>
            </w: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Stavební konstrukce</w:t>
            </w:r>
            <w:r>
              <w:rPr>
                <w:vertAlign w:val="superscript"/>
              </w:rPr>
              <w:t>1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 1/2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49 1/2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 1/2</w:t>
            </w: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proofErr w:type="spellStart"/>
            <w:r w:rsidRPr="00BE3A72">
              <w:t>Odb</w:t>
            </w:r>
            <w:proofErr w:type="spellEnd"/>
            <w:r w:rsidRPr="00BE3A72">
              <w:t>. výcvik*</w:t>
            </w:r>
            <w:r>
              <w:rPr>
                <w:vertAlign w:val="superscript"/>
              </w:rPr>
              <w:t>2) 5</w:t>
            </w:r>
            <w:r w:rsidRPr="00BE3A72">
              <w:rPr>
                <w:vertAlign w:val="superscript"/>
              </w:rPr>
              <w:t>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50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 w:rsidRPr="00BE3A72">
              <w:t>1632 1/2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Disponibilní dotace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19,5</w:t>
            </w:r>
          </w:p>
        </w:tc>
        <w:tc>
          <w:tcPr>
            <w:tcW w:w="1341" w:type="dxa"/>
            <w:vAlign w:val="center"/>
          </w:tcPr>
          <w:p w:rsidR="00C31791" w:rsidRPr="00BE3A72" w:rsidRDefault="00C31791" w:rsidP="008E1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C31791" w:rsidRPr="00BE3A72" w:rsidRDefault="00C31791" w:rsidP="008E1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1791" w:rsidRPr="00BE3A72" w:rsidRDefault="00C31791" w:rsidP="008E1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31791" w:rsidRPr="00BE3A72" w:rsidRDefault="00C31791" w:rsidP="008E1E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1791" w:rsidRPr="00BE3A72" w:rsidRDefault="00C31791" w:rsidP="008E1EBF">
            <w:pPr>
              <w:jc w:val="both"/>
              <w:rPr>
                <w:sz w:val="20"/>
                <w:szCs w:val="20"/>
              </w:rPr>
            </w:pPr>
          </w:p>
        </w:tc>
      </w:tr>
      <w:tr w:rsidR="00C31791" w:rsidRPr="00BE3A72" w:rsidTr="008E1EBF">
        <w:trPr>
          <w:tblCellSpacing w:w="0" w:type="dxa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Celkem: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96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 w:rsidRPr="00BE3A72">
              <w:t>2560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  <w:r>
              <w:t>99</w:t>
            </w:r>
            <w:r w:rsidRPr="00BE3A72">
              <w:t xml:space="preserve"> 1/2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91" w:rsidRPr="00BE3A72" w:rsidRDefault="00C31791" w:rsidP="008E1EBF">
            <w:pPr>
              <w:jc w:val="both"/>
            </w:pPr>
            <w:r>
              <w:t>3250</w:t>
            </w:r>
            <w:r w:rsidRPr="00BE3A72">
              <w:t xml:space="preserve"> 1/2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791" w:rsidRPr="00BE3A72" w:rsidRDefault="00C31791" w:rsidP="008E1EBF">
            <w:pPr>
              <w:jc w:val="both"/>
            </w:pPr>
          </w:p>
        </w:tc>
      </w:tr>
    </w:tbl>
    <w:p w:rsidR="00C31791" w:rsidRPr="00BE3A72" w:rsidRDefault="00C31791" w:rsidP="00C31791">
      <w:pPr>
        <w:autoSpaceDE w:val="0"/>
        <w:autoSpaceDN w:val="0"/>
        <w:adjustRightInd w:val="0"/>
        <w:rPr>
          <w:b/>
          <w:bCs/>
        </w:rPr>
      </w:pPr>
    </w:p>
    <w:p w:rsidR="00C31791" w:rsidRPr="00BE3A72" w:rsidRDefault="00C31791" w:rsidP="00C31791">
      <w:pPr>
        <w:autoSpaceDE w:val="0"/>
        <w:autoSpaceDN w:val="0"/>
        <w:adjustRightInd w:val="0"/>
        <w:rPr>
          <w:b/>
          <w:bCs/>
        </w:rPr>
      </w:pPr>
    </w:p>
    <w:p w:rsidR="00C31791" w:rsidRPr="00BE3A72" w:rsidRDefault="00C31791" w:rsidP="00C31791">
      <w:pPr>
        <w:autoSpaceDE w:val="0"/>
        <w:autoSpaceDN w:val="0"/>
        <w:adjustRightInd w:val="0"/>
        <w:rPr>
          <w:b/>
          <w:bCs/>
        </w:rPr>
      </w:pPr>
    </w:p>
    <w:p w:rsidR="00C31791" w:rsidRPr="00BE3A72" w:rsidRDefault="00C31791" w:rsidP="00C31791">
      <w:pPr>
        <w:autoSpaceDE w:val="0"/>
        <w:autoSpaceDN w:val="0"/>
        <w:adjustRightInd w:val="0"/>
        <w:rPr>
          <w:b/>
          <w:bCs/>
        </w:rPr>
      </w:pPr>
      <w:r w:rsidRPr="00BE3A72">
        <w:rPr>
          <w:b/>
          <w:bCs/>
        </w:rPr>
        <w:t>Poznámky</w:t>
      </w:r>
    </w:p>
    <w:p w:rsidR="00C31791" w:rsidRPr="00BE3A72" w:rsidRDefault="00C31791" w:rsidP="00C31791">
      <w:pPr>
        <w:autoSpaceDE w:val="0"/>
        <w:autoSpaceDN w:val="0"/>
        <w:adjustRightInd w:val="0"/>
        <w:rPr>
          <w:b/>
          <w:bCs/>
        </w:rPr>
      </w:pPr>
    </w:p>
    <w:p w:rsidR="00C31791" w:rsidRPr="00BE3A72" w:rsidRDefault="00C31791" w:rsidP="00C317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E3A72">
        <w:t>Vzdělávací oblast teoretického odborného vzdělávání byla posílena o disponibilní hodiny vzhledem k tomu, že zahrnuje odborné předměty Odborné kreslení, Materiály, Stavební konstrukce a Technologii, které jsou nezbytné pro naplnění odborných kompetencí žáků.</w:t>
      </w:r>
    </w:p>
    <w:p w:rsidR="00C31791" w:rsidRPr="00BE3A72" w:rsidRDefault="00C31791" w:rsidP="00C317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E3A72">
        <w:t>Odborný výcvik byl posílen o disponibilní hodiny vzhledem k naplnění předepsaného rozsahu praktických činností.</w:t>
      </w:r>
    </w:p>
    <w:p w:rsidR="00C31791" w:rsidRPr="00BE3A72" w:rsidRDefault="00C31791" w:rsidP="00C317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E3A72">
        <w:t xml:space="preserve">Při výuce cizího jazyka se třída dělí na skupiny dle platných předpisů. Vyučovacími cizími jazyky jsou buď jazyk </w:t>
      </w:r>
      <w:proofErr w:type="gramStart"/>
      <w:r w:rsidRPr="00BE3A72">
        <w:t>anglický nebo</w:t>
      </w:r>
      <w:proofErr w:type="gramEnd"/>
      <w:r w:rsidRPr="00BE3A72">
        <w:t xml:space="preserve"> jazyk německý. Žák pokračuje ve výuce cizího jazyka, který měl na základní škole, aby byla zajištěna návaznost výuky</w:t>
      </w:r>
    </w:p>
    <w:p w:rsidR="00C31791" w:rsidRPr="00BE3A72" w:rsidRDefault="00C31791" w:rsidP="00C317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E3A72">
        <w:t>Při výuce Informačních a komunikačních technologií se třída dělí na skupiny.</w:t>
      </w:r>
    </w:p>
    <w:p w:rsidR="00C31791" w:rsidRPr="00BE3A72" w:rsidRDefault="00C31791" w:rsidP="00C317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E3A72">
        <w:t xml:space="preserve">Výuka odborného výcviku probíhá v dílně pod vedením učitele odborného </w:t>
      </w:r>
      <w:proofErr w:type="gramStart"/>
      <w:r w:rsidRPr="00BE3A72">
        <w:t>výcviku     a ve</w:t>
      </w:r>
      <w:proofErr w:type="gramEnd"/>
      <w:r w:rsidRPr="00BE3A72"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BE3A72">
          <w:t>2. a</w:t>
        </w:r>
      </w:smartTag>
      <w:r w:rsidRPr="00BE3A72">
        <w:t xml:space="preserve"> 3. ročníku přímo na stavbách pod vedením učitele odborného výcviku. Počet žáků na jednoho učitele OV se řídí platnými právními vyhláškami.</w:t>
      </w:r>
    </w:p>
    <w:p w:rsidR="00C31791" w:rsidRPr="00BE3A72" w:rsidRDefault="00C31791" w:rsidP="00C31791">
      <w:pPr>
        <w:pStyle w:val="Nadpis3"/>
      </w:pPr>
      <w:r w:rsidRPr="00BE3A72">
        <w:t xml:space="preserve">      </w:t>
      </w:r>
      <w:bookmarkStart w:id="3" w:name="_Toc327981661"/>
      <w:bookmarkStart w:id="4" w:name="_Toc328038616"/>
      <w:bookmarkStart w:id="5" w:name="_Toc328067236"/>
      <w:bookmarkStart w:id="6" w:name="_Toc328067713"/>
      <w:proofErr w:type="gramStart"/>
      <w:r w:rsidRPr="00BE3A72">
        <w:t xml:space="preserve">*  </w:t>
      </w:r>
      <w:r w:rsidRPr="00BE3A72">
        <w:rPr>
          <w:rFonts w:ascii="Times New Roman" w:hAnsi="Times New Roman" w:cs="Times New Roman"/>
          <w:b w:val="0"/>
          <w:sz w:val="24"/>
          <w:szCs w:val="24"/>
        </w:rPr>
        <w:t>předmět</w:t>
      </w:r>
      <w:proofErr w:type="gramEnd"/>
      <w:r w:rsidRPr="00BE3A72">
        <w:rPr>
          <w:rFonts w:ascii="Times New Roman" w:hAnsi="Times New Roman" w:cs="Times New Roman"/>
          <w:b w:val="0"/>
          <w:sz w:val="24"/>
          <w:szCs w:val="24"/>
        </w:rPr>
        <w:t xml:space="preserve"> je součástí závěrečné zkoušky</w:t>
      </w:r>
      <w:bookmarkEnd w:id="3"/>
      <w:bookmarkEnd w:id="4"/>
      <w:bookmarkEnd w:id="5"/>
      <w:bookmarkEnd w:id="6"/>
    </w:p>
    <w:p w:rsidR="004020A0" w:rsidRDefault="004020A0"/>
    <w:sectPr w:rsidR="0040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B1B"/>
    <w:multiLevelType w:val="hybridMultilevel"/>
    <w:tmpl w:val="97320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91"/>
    <w:rsid w:val="00261287"/>
    <w:rsid w:val="004020A0"/>
    <w:rsid w:val="00C3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31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31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3179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31791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31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31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3179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31791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Jeleníková</dc:creator>
  <cp:lastModifiedBy>Veronika Dostálková</cp:lastModifiedBy>
  <cp:revision>2</cp:revision>
  <dcterms:created xsi:type="dcterms:W3CDTF">2020-03-16T12:48:00Z</dcterms:created>
  <dcterms:modified xsi:type="dcterms:W3CDTF">2020-03-16T12:48:00Z</dcterms:modified>
</cp:coreProperties>
</file>